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18.06.2020, оставленным без изменения постановлением Двенадцатого арбитражного апелляционного суда от 26.08.2020, с союза в пользу общества взыскано 304 817 рублей компенсационной выплаты, 17 500 рублей расходов на услуги эвакуатора, 10 000 рублей на независимую экспертизу по определению восстановительных расходов, 10 000 рублей на экспертизу по определению стоимости годных остатков, 879 рублей 72 копеек почтовых расходов и 10 000 рублей расходов на услуги представителя; в иске к обществу «ВСК» отказано. Арбитражный суд Поволжского округа постановлением от 04.12.2020 решение от 18.06.2020 и постановление Двенадцатого арбитражного апелляционного суда от 26.08.2020 оставил без изменения. 2 В кассационной жалобе союз просит об отмене судебных актов, ссылаясь на отсутствие у истца права на получение компенсационной выплаты.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Истцу перешли права выгодоприобретателя в договоре обязательного страхования гражданской ответственности по сделке, предусматривающей перемену лица в обязательстве. В силу пункта 2.1 стати 18 Федерального закона от 25.04.2002 № 40-ФЗ «Об обязательном страховании гражданской ответственности владельцев транспортных средств» (далее – Закон об ОСАГО) выгодоприобретатели отнесены к лицам, имеющим право на получение компенсационной выплаты. Иное толкование норм о компенсационных выплатах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