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14.05.2020, оставленным без изменения постановлением Одиннадцатого арбитражного апелляционного суда от 22.07.2020 и постановлением Арбитражного суда Поволжского округа от 13.11.2020, предпринимателю разъяснено, что неустойка подлежит взысканию с даты изготовления решения суда первой инстанции в полном объеме, то есть с 16.10.2019. В кассационной жалобе предприниматель просит отменить судебные акты, ссылаясь на неправильное определение момента присуждения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разъяснили решение о дне, с которого взыскивается неустойка, в соответствии со статьей 176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Карезиной Елене Валерьевне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