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30.06.2020, оставленным без изменения постановлением Девятого арбитражного апелляционного суда от 19.10.2020 и постановлением Арбитражного суда Московского округа от 14.12.2020, производство по заявлению общества «ИнвестПрибор» о взыскании судебных расходов, поданного с пропуском срока, прекращено применительно к пункту 1 части 1 статьи 150 Арбитражного процессуального кодекса Российской Федерации. В кассационной жалобе общество «ИнвестПрибор» просит о пересмотре судебных актов, ссылаясь на то, что суды не учли конкретных обстоятельств несвоевременного обращения с заявлением о взыскании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Ходатайство заявителя о восстановлении срока подачи заявления о взыскании судебных расходов рассмотрено применительно к обозначенным причинам, и выводы судов об оценке таких причин не подлежат пересмотру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«ИнвестПрибор»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