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11.06.2020, оставленным без изменения постановлением Девятого арбитражного апелляционного суда от 01.09.2020 и постановлением Арбитражного суда Московского округа от 16.11.2020, заявление общества «РВО ГРУПП» о взыскании 800 000 рублей судебных расходов удовлетворено на сумму в 300 000 рублей. В кассационной жалобе общество «РВО ГРУПП» просит об отмене судебных актов, ссылаясь на неосновательное уменьшение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в отношении судебных расходов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 Федерации и обстоятельствам рассмотрения дела.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затрат, понесенных ответчиком в связи с рассмотрением дела, во взысканном размере. Доводы жалобы сводятся к иной оценке обстоятельств несения расходов, не создающей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«РВО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