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«Элитгрупп» обратилось в Арбитражный суд Республики Крым с иском, уточненным в порядке статьи 49 Арбитражного процессуального кодекса Российской Федерации, о взыскании с акционерного общества «Крымская Фруктовая компания» 1 075 000 рублей задолженности по договорам-заявкам на транспортно-экспедиционное обслуживание и 167 038 рублей процентов за пользование чужими денежными средствами. Судом принят встречный иск акционерного общества «Крымская Фруктовая компания» о взыскании с общества с ограниченной ответственностью «Компания «Элитгрупп» 750 685 рублей ущерба, причиненного порчей груза при его перевозке. Решением Арбитражного суда Республики Крым от 09.06.2020 первоначальный иск удовлетворен в части взыскания 975 000 рублей задолженности и 152 507 рублей 11 копеек процентов за пользование чужими денежными средствами; в удовлетворении первоначального иска в остальной 2 части отказано; встречный иск удовлетворен. В результате зачета с акционерного общества «Крымская Фруктовая компания» в пользу общества с ограниченной ответственностью «Компания «Элитгрупп» взыскано 376 822 рубля 11 копеек задолженности. Постановлением Двадцать первого арбитражного апелляционного суда от 08.09.2020 решение суда первой инстанции изменено в части распределения судебных расходов: с акционерного общества «Крымская Фруктовая компания» в пользу общества с ограниченной ответственностью «Компания «Элитгрупп» дополнительно взыскано 10 870 рублей транспортных расходов; в остальной части решение суда первой инстанции оставлено без изменения. Арбитражный суд Центрального округа постановлением от 17.12.2020 постановление суда апелляционной инстанции оставил без изменения. Общество с ограниченной ответственностью «Компания «Элитгрупп»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встречного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первоначальный иск о взыскании задолженности по оплате оказанных услуг по перевозке грузов и процентов за пользование чужими денежными средствами, суды, признав доказанным факт оказания услуг и отсутствие доказательств их оплаты, руководствовались статьями 309, 310, 395, 784, 785 Гражданского кодекса Российской Федерации.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признав доказанным несоответствие температурного режима в ходе перевозки, установив ненадлежащее исполнение перевозчиком обязательств по перевозке товара, выразившееся в порче (обморожении) 3 перевозимых фруктов, отсутствие доказательств того, что порча груза произошла вследствие обстоятельств, которые перевозчик не мог предотвратить и устранение которых от него не зависело, руководствуясь положениями статей 15, 393, 785, 793, 796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правовыми позициями,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об обоснованности встречного иска о взыскании убытков. Доводы, изложенные в жалобе, о соблюдении перевозчиком температурного режима при перевозке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«Элитгрупп»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