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23.06.2020, оставленным без изменения постановлением Девятого арбитражного апелляционного суда от 07.09.2020, иск удовлетворен. Арбитражный суд Московского округа постановлением от 18.11.2020 решение от 23.06.2020 и постановление Девятого арбитражного апелляционного суда от 07.09.2020 оставил без изменения. В кассационной жалобе завод просит об отмене судебных актов, ссылаясь на взыскание убытков без учета разумности произведенных расходов и сверх полученной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в силу статей 15, 393 Гражданского кодекса Российской Федерации условия для взыскания убытков вследствие ненадлежащего исполнения обязательства, устанавливаются судами и не подлежат пересмотру в кассационном порядке. Оснований для зачета неустойки к убыткам при применении их в связи с нарушением различных обязательств не имеется, на что правильно указали суды.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«Выксунский металлургический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