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06.05.2020 иск удовлетворен. Постановлением Восемнадцатого арбитражного апелляционного суда от 14.09.2020, оставленным без изменения постановлением Арбитражного суда Уральского округа от 25.11.2020, решение отменено, в удовлетворении иска отказано. В кассационной жалобе общество «Станформа» просит об отмене судебных актов апелляционного и окружного судов, ссылаясь на неправильное применение преюдиции.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дело, установил, что в деле № А76-42226/2019 обществу «Станформа» отказано во взыскании расходов на транспортировку и убытков в связи с признанием правомерности отказа общества «Основной поставщик» от принятия бракованного товара. Доводы ответчика о необходимых в рамках рассматриваемого дела оценке существенности нарушения договора и правомерности отказа от него истца не могли быть рассмотрены в противоречии с установленными в названном ранее деле обстоятельствами.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«Станформа»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