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07.12.2018 принят отказ истца от исковых требований в части взыскания 187 234 рублей, производство по делу в указанной части прекращено. Исковые требования удовлетворены частично: взыскано с ФИО1 в пользу общества 5 325 000 рублей убытков, в удовлетворении остальной части исковых требований отказано. Постановлением Девятого арбитражного апелляционного суда от 28.03.2019, оставленным без изменения постановлением Арбитражного суда Московского округа от 10.07.2019, решение суда первой инстанции отменено в части взыскания с ответчика в пользу истца убытков в размере 5 325 000 рублей, в удовлетворении требований о взыскании указанной суммы отказано. В остальной части решение оставлено без изменений. В кассационной жалобе, поданной в Судебную коллегию Верховного Суда Российской Федерации, заявитель, выражая несогласие с обжалуемыми судебными актами, просил пересмотреть их в порядке кассационного производства, ссылаясь на их незаконность. По смыслу части 1 статьи 291.1 , части 7 статьи 291.6 , статьи 291.11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по доводам кассационной жалобы принятые по делу судебные акты, судья не усматривает оснований для передачи жалобы для рассмотрения в судебном заседании Судебной коллегии Верховного Суда Российской Федерации. Суд апелляционной инстанции, повторно исследовав обстоятельства спора и оценив представленные в материалы дела доказательства в совокупности и взаимосвязи по правилам главы 7 Кодекса, руководствуясь положениями статей 15 , 53 Гражданского кодекса Российской Федерации и статьи 44 Федерального закона от 08.02.1998 № 14-ФЗ «Об обществах с ограниченной ответственностью», пришел к выводу, что ни по одному из заявленных истцом эпизодов не доказано наличие оснований для привлечения бывшего генерального директора общества к гражданско-правовой ответственности в виде взыскания убытков; неразумность или недобросовестность в действиях бывшего руководителя не установлены. Суд округа согласился с выводами суда апелляционной инстанции. Изложенные в кассационной жалобе доводы были предметом рассмотрения судебных инстанций и получили надлежащую правовую оценку. Выводы судов подробно мотивированы, основаны на представленных в материалы дела доказательствах и установленных на их основании фактических обстоятельствах. Существенных нарушений норм материального и процессуального права, повлиявших на исход дела, указанные в жалобе доводы не подтверждают,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ООО "РиК"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