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06.02.2020, оставленным без изменения постановлением Девятого арбитражного апелляционного суда от 30.07.2020, иск удовлетворен. Арбитражный суд Московского округа постановлением от 12.11.2020 решение от 06.02.2020 и постановление Девятого арбитражного апелляционного суда от 30.07.2020 оставил без изменения. В кассационной жалобе общество «Абрера Мотор» просит об отмене судебных актов, ссылаясь на неосновательное признание его надлежаще извещенным о рассмотрении дела в суде первой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установленной судами обязанности общества «Абрера Мотор» отвечать за ненадлежащее исполнение обязательства и в отсутствие в рассматриваемой жалобе доводов в отношении материально правового существа судебных актов, проверенного в связи с апелляционной и кассационной жалобами общества, оспаривание им вывода судов о надлежащем извещении его о рассмотрении дела судом первой инстанции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«Абрера Мотор»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