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22.05.2020, оставленным без изменения постановлением Семнадцатого арбитражного апелляционного суда от 20.08.2020, иск удовлетворен. Арбитражный суд Уральского округа постановлением от 04.12.2020 решение от 22.05.2020 и постановление Семнадцатого арбитражного апелляционного суда от 20.08.2020 оставил без изменения. В кассационной жалобе союз просит об отмене судебных актов, ссылаясь на отсутствие у истца права на получение компенсационной выплаты.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Истцу перешли права выгодоприобретателя в договоре обязательного страхования по сделке, предусматривающей перемену лица в обязательстве. В силу пункта 2.1 статьи 18 Федерального закона от 25.04.2002 № 40-ФЗ «Об обязательном страховании гражданской ответственности владельцев транспортных средств» выгодоприобретатели отнесены к лицам, имеющим право на получение компенсационных выплат. Иное толкование норм о компенсационных выплатах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Российскому союзу автостраховщиков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