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17.06.2020, оставленным без изменения постановлением Тринадцатого арбитражного апелляционного суда от 01.09.2020, иск удовлетворен. Арбитражный суд Северо-Западного округа постановлением от 02.12.2020 решение от 17.06.2020 и постановление Тринадцатого арбитражного апелляционного суда от 01.09.2020 оставил без изменения. В кассационной жалобе общество «Югнефтепром» просит об отмене судебных актов, ссылаясь на игнорирование ходатайства об отложении рассмотрения дела, принятие от истца не раскрытых ответчику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статьи 158 Арбитражного процессуального кодекса Российской Федерации рассмотрение дела по существу в отсутствие извещенного ответчика по имеющимся в деле доказательствам допускается. Суды установили, что спорная сумма является штрафом, начисленным контрагентом обществу «Контур СПб» за нарушение срока оборачиваемости цистерн, в которых общество «Югнефтепром» получило нефтепродукты в рамках договора от 19.04.2018 № 19/04/18. Применительно к правоотношениям сторон по договору услуг начисленный штраф является убытками истца, возникшими вследствие ненадлежащего исполнения ответчиком обязанности по возврату опорожненных цистерн, взысканными по правилам статей 15, 393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«Югнефтепром»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