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03.06.2020, оставленным без изменения постановлением Девятого арбитражного апелляционного суда от 05.08.2020, в удовлетворении иска отказано. Арбитражный суд Московского округа постановлением от 12.11.2020 решение от 03.06.2020 и постановление Девятого арбитражного апелляционного суда от 05.08.2020 оставил без изменения. В кассационной жалобе центр просит об отмене судебных актов, ссылаясь на несоответствие их законодательству об охране здоровья граждан.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применили к правоотношениям по договору поставки от 11.12.2015 № 8 правовые нормы об этом виде обязательства (статьи 469, 470, 525 Гражданского кодекса Российской Федерации) и проверили на соответствие им юридической силы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«Медицинский центр «Здрава»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