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обосновывает ходатайство об отсрочке уплаты государственной пошлины сложным имущественным положением, обусловленным ведением в отношении него процедуры банкротства.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акционерному обществу «Волгомост»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"РечСтройФлот" (подробнее) Ответчики: АО "Волгомост"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