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Орловской области от 10.04.2020, оставленным без изменения постановлением Девятнадцатого арбитражного апелляционного суда от 05.08.2020 и постановлением Арбитражного суда Центрального округа от 13.11.2020, иск удовлетворен. В кассационной жалобе учреждение просит о пересмотре судебных актов, ссылаясь на законную сделку и действия истца в качестве основания для получения спорной суммы и неприменение норм права о возмездном оказании услуг и подряде.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Вопреки доводу учреждения суды руководствовались нормами права о возмездном оказании услуг (статьи 779, 781 Гражданского кодекса Российской Федерации) при оценке правоотношений сторон и установленной оплатой обществом не оказанной учреждением услуги, которая подчинятся правилу неосновательном обогащении и взыскана как таковая.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«Центральная научно-методическая ветеринарная лаборатория»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