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Кемеровской области от 11.06.2020, оставленным без изменения постановлением Седьмого арбитражного апелляционного суда от 25.08.2020, в удовлетворении требования отказано. 2 Постановлением Арбитражного суда Западно-Сибирского округа от 18.11.2020 указанные судебные акты оставлены без изменения. Общество в кассационной жалобе просит состоявшиеся по делу судебные акты отменить, считая их незаконными и необоснованными.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привлечения к ответственности послужил выявленный административным органом факт ненадлежащего содержания обществом общего имущества многоквартирного дома. Частью 2 статьи 14.1.3 Кодекса Российской Федерации об административных правонарушениях предусмотрена административная ответственность за осуществление предпринимательской деятельности по управлению многоквартирными домами с нарушением лицензионных требований, за исключением случаев, предусмотренных статьей 13.19.2 настоящего Кодекса. Оценив представленные доказательства, руководствуясь положениями статей 161, 162 Жилищного кодекса Российской Федерации, Правил и норм технической эксплуатации жилищного фонда, утвержденных постановлением Государственного комитета по строительству и жилищно-коммунальному комплексу от 27.09.2003 № 170, Правил содержания общего имущества в многоквартирном доме, утвержденных постановлением Правительства Российской Федерации от 13.08.2006 № 491, суды пришли к выводу о наличии в действиях общества состава правонарушения, ответственность за совершение которого предусмотрена частью 2 статьи 14.1.3 Кодекса Российской Федерации об административных правонарушениях. Вина общества в совершении правонарушения установлена. Процедура и срок давности привлечения к ответственности соблюдены. Оснований для 3 применения положений статей 2.9, 4.1.1 Кодекса Российской Федерации об административных правонарушениях судами не установлено. Доводы жалобы были предметом исследования судов и получили исчерпывающую правовую оценку исходя из факта составления протокола и рассмотрения дела об административном правонарушении административным органом в пределах представленных полномочий, не согласиться с которой оснований не имеется. Указанные доводы сводятся к несогласию заявителя с установленными судами фактическими обстоятельствами дела и оценкой доказательств, что в силу статьи 291.6 Арбитражного процессуального кодекса Российской Федерации не может являться основанием для отмены оспариваемых судебных актов в кассационном порядке.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