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«Единый расчетный центр жилищно-коммунального хозяйства» обратилось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«Коммунально-Технологическая Компания «Прима» 4 439 070 рублей 66 копеек задолженности по агентскому договору от 01.05.2010 № 10/10 за период с июля 2018 г. по июль 2019 г. К участию в деле в качестве третьих лиц, не заявляющих самостоятельных требований относительно предмета спора, привлечены муниципальное унитарное предприятие «Теплосеть», муниципальное унитарное предприятие «Домодедовский водоканал», Комитет по ценам и тарифам Администрации городского округа Домодедово Московской области. 2 Решением Арбитражного суда Московской области от 24.01.2020 иск удовлетворен в части взыскания 1 335 202 рублей 82 копеек; в удовлетворении иска в остальной части отказано. Постановлением Десятого арбитражного апелляционного суда от 29.06.2020 решение суда первой инстанции оставлено без изменения. Арбитражный суд Московского округа постановлением от 16.11.2020 указанные судебные акты оставил без изменения. Муниципальное унитарное предприятие «Единый расчетный центр жилищно-коммунального хозяйства»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67, 68, 71 Арбитражного процессуального кодекса Российской Федерации, исходя из буквального толкования условий спорного договора, установив, что взыскание агентского вознаграждения за тепловую энергию/отопление, горячее водоснабжение, холодное водоснабжение и водоотведение не предусмотрены агентским договором, услуги оказывались третьим лицам - ресурсоснабжающим организациям, признав доказанным факт оказания услуг ответчику (принципалу) по начислению платежей за содержание и текущий ремонт, техническое обслуживание и ремонт лифтов, руководствуясь положениями статей 309, 310, 431, 1005, 1006, 1008 Гражданского кодекса Российской Федерации, суды пришли к выводу о частичном удовлетворении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«Единый расчетный центр жилищно-коммунального хозяйства»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