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перечислению в период с 29.03.2017 по 03.05.2017 на расчётный счёт общества с ограниченной ответственностью «Хлебный двор» (далее – общество) денежных средств на общую сумму 20 294 386 рублей 90 копеек; применении последствий их недействительности. Определением Арбитражного суда города Москвы от 02.07.2020, оставленным без изменения постановлениями Девятого арбитражного апелляционного суда от 02.09.2020 и Арбитражного суда Московского округа от 30.11.2020,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(банкротстве)», исходили из недоказанности совокупности условий для признания недействительными оспариваемых сделок по основаниям мнимости и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«Биэль» Титовскому Игорю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