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05.06.2020, оставленным без изменения постановлением Восемнадцатого арбитражного апелляционного суда от 24.07.2020, предприниматель привлечен к административной ответственности, предусмотренной частью 2 статьи 14.17.1 Кодекса Российской Федерации об административных правонарушениях и ему 2 назначено наказание в виде административного штрафа в размере 50000 рублей, изъятая алкогольная продукция направлена на уничтожение. Постановлением Арбитражного суда Уральского округа от 13.11.2020 указанные судебные акты оставлены без изменения. Предприниматель просит обжалуемые судебные акты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не установлено. Частью 2 статьи 14.17.1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3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признав доказанным факт осуществления предпринимателем розничной продажи алкогольной продукции без лицензии. При этом суды признали наличие вины предпринимателя, оснований для применения статьи 2.9 Кодекса Российской Федерации об административных правонарушениях не установлено.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свидетельствующим о доказанности в действиях предпринимателя события правонарушения, ответственность за которое предусмотрена частью 2 статьи 14.17.1 Кодекса Российской Федерации об административных правонарушениях. Нарушений норм процессуального права, являющихся основанием для отмены решения на основании части 4 статьи 270, части 4 статьи 288 Арбитражного процессуального кодекса Российской Федерации, не выявлено.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