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17.03.2020 в иске отказано. Постановлением Девятого арбитражного апелляционного суда от 27.07.2020 производство по апелляционной жалобе банка в порядке статьи 42 Арбитражного процессуального кодекса Российской Федерации 2 прекращено, решение суда первой инстанции по апелляционной жалобе истца оставлено без изменения. Постановлением Арбитражного суда Московского округа от 17.11.2020 постановление суда апелляционной инстанции по кассационной жалобе банка в обжалуемой им части оставлено без изменения. В кассационной жалобе банк просит постановления судов апелляционной и кассационной инстанций отменить, направить дело на новое рассмотрение в суд апелляционной инстанции для рассмотрение его жалобы.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 апелляционной инстанции руководствовался положениями статей 42, 150 Арбитражного процессуального кодекса Российской Федерации и исходил из того, что оспариваемый судебный акт не затрагивает непосредственно права и обязанности заявителя. Суд округа оставил постановление суда апелляционной инстанции без изменения. Суды указали, что заинтересованность в исходе дела сама по себе не является основанием для возникновения у заявителя права на обжалование судебного акта в порядке статьи 42 Арбитражного процессуального кодекса Российской Федерации. Доводы кассационной жалобы не свидетельствуют о допущенных судом нарушениях норм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