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15.05.2020, оставленным без изменения постановлением Восемнадцатого арбитражного апелляционного суда от 04.08.2020 и постановлением Арбитражного суда Уральского округа от 17.11.2020, в удовлетворении требования отказано. В кассационной жалобе, поданной в Верховный Суд Российской Федерации, общество, ссылаясь на существенное нарушение норм права, 2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распоряжения министерства от 04.09.2019 № ГСН-2486/19 в отношении общества проведена внеплановая выездная проверка и установлено, что общество, не являясь членом саморегулируемой организации в области архитектурно-строительного проектирования и строительства выполняло функции технического заказчика при строительстве цеха по производству химволокна. По результатам проверки составлен акт и вынесено оспариваемое предписание, согласно которому в качестве мер по устранению выявленного нарушения заявителю предписано организовать работы по строительству объекта капитального строительства в соответствии с требованиями нормативно-правовых актов. Не согласившись с предписанием министерства в указанной части, общество обратилось в арбитражный суд. Отказывая в удовлетворении требования, суды первой и апелляционной инстанций, исследовав и оценив представленные в материалы дела доказательства, руководствуясь положениями Градостроительного кодекса Российской Федерации (далее - Градостроительный кодекс), Перечнем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утвержденным приказом Министерства регионального развития Российской Федерации от 30.12.2009 № 624, пришли к выводу о том, что оспоренное предписание в оспариваемой части соответствует действующему законодательству и не нарушает права и законные интересы заявителя, с чем согласился суд округа. Судебные инстанции исходили из того, что общество, не являясь членом саморегулируемой организации в области архитектурно-строительного проектирования и строительства, в нарушение положений пункта 22 статьи 1 3 Градостроительного кодекса выполняло функции технического заказчика при строительстве цеха по производству химволокна.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общества, изложенные в жалобе, в том числе о преюдициальном значении для рассмотрения настоящего спора дела № А83-18545/2017, являлись предметом рассмотрения судов и им дана надлежащая правовая оценка, не опровергают выводы судов трех инстанций, не подтверждают существенных нарушений норм материального и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«Втор-Ком»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