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Алтайского края от 17.07.2020, оставленным без изменения постановлением Седьмого арбитражного апелляционного суда от 21.09.2020, в удовлетворении требования отказано в 2 связи с установленной в ходе рассмотрения дела малозначительностью правонарушения, суд ограничился устным замечанием. Постановлением Арбитражного суда Западно-Сибирского округа от 14.12.2020 указанные судебные акты оставлены без изменения. Обжалуя судебные акты в Верховный Суд Российской Федерации, Копылова Н.Ю. (кредитор должника-банкрота) приводит доводы об отсутствии у судов правовых оснований для применения статьи 2.9 Кодекса Российской Федерации об административных правонарушениях и положений о малозначительности. При изучении доводов жалобы и принятых по делу судебных актов оснований для удовлетворения жалобы не установлено. Признав, что арбитражным управляющим допущено нарушение законодательства о банкротстве, суды пришли к выводу о наличии в его действиях состава правонарушения, ответственность за которое предусмотрена частью 3.1 статьи 14.13 Кодекса Российской Федерации об административных правонарушениях, однако с учетом конкретных обстоятельств дела суды отказали в удовлетворении заявленного требования, признав правонарушение малозначительным, поскольку не усмотрели существенной угрозы охраняемым общественным правоотношениям с учетом характера совершенного правонарушения и роли правонарушителя.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3 Копыловой Н.Ю. в жалобе не указан надлежащий, по ее мнению, способ восстановления нарушенного права, кроме признания действий (бездействия) арбитражного управляющего незаконными, и привлечения его к более строгой ответственности. При этом в настоящее время имеется вступивший в законную силу судебный акт, в котором суды фактически согласились с приведенными ею доводами, установив обстоятельства несоблюдения арбитражным управляющим законодательства о банкротстве при исполнении возложенных на него обязанностей (в том числе относительно выявления и обеспечения сохранности имущества должника). Выводы судов о возможности или невозможности квалификации правонарушения как малозначительного не подлежат переоценке на стадии кассационного обжалования. При указанных обстоятельствах с учетом принципа правовой определенности приведенные в жалобе доводы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