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Пензенской области от 14.07.2020, оставленным без изменения постановлением Одиннадцатого арбитражного апелляционного суда от 18.09.2020, в иске отказано. Постановлением Арбитражного суда Поволжского округа от 10.12.2020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307 , 309 , 310 , 330 , 454 , 486 , 525 Гражданского кодекса Российской Федерации, статьи 95 Федерального Закона Российской Федерации от 05.04.2013 № 44-ФЗ «О контрактной системе в сфере закупок товаров, работ, услуг для обеспечения государственных и муниципальных нужд», суды в иске отказали, признав факт поставки истцом товара, не соответствующего по своим характеристикам условиям контракта. Доводы жалобы были предметом исследования судов и получили исчерпывающую правовую оценку с учетом установленных обстоятельств, свидетельствующих об отсутствии доказательств исполнения истцом обязательств надлежащим образом,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"Технопарк" (подробнее) Ответчики: Государственное бюджетное учреждение здравоохранения "Кузнецкая межрайонная детская больница" (подробнее) Иные лица: Инспекция Федеральной налоговой службы по Октябрьскому району г. Пензы (подробнее) Судьи дела: Першутов А.Г. (судья) (подробнее) Судебная практика по: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