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15.06.2020, оставленным без изменения постановлением Пятнадцатого арбитражного апелляционного суда от 14.08.2020, в удовлетворении заявленных требований отказано. Постановлением Арбитражного суда Северо-Кавказского округа от 20.11.2020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Таможенного кодекса Евразийского экономического союза, исходя из разъяснений, содержащихся в пункте 11 Постановления Пленума Высшего Арбитражного Суда РФ от 08.11.2013 № 79 «О некоторых вопросах применения таможенного законодательства»,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Кодекса Российской Федерации об административных правонарушениях, установив факт заявления обществом недостоверных сведений о таможенной стоимости декларируемых товаров.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установили, так же как не установили 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Кодекса Российской Федерации об административных правонарушениях. Доводы общества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"Аванта" (подробнее) Ответчики: Новороссийская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