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04.06.2020, оставленным без изменения постановлением Пятнадцатого арбитражного апелляционного суда от 10.08.2020, в удовлетворении заявленных требований отказано. Постановлением Арбитражного суда Северо-Кавказского округа от 18.11.2020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считая их принятыми с нарушением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Таможенного кодекса Евразийского экономического союза, исходя из разъяснений, содержащихся в пункте 11 Постановления Пленума Высшего Арбитражного Суда РФ от 08.11.2013 № 79 «О некоторых вопросах применения таможенного законодательства», суды пришли к выводу о наличии в действиях общества состава административного правонарушения, ответственность за которое установлена частью 2 статьи 16.2 Кодекса Российской Федерации об административных правонарушениях, установив факт заявления обществом недостоверных сведений о таможенной стоимости декларируемых товаров.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правонарушения. Нарушений порядка привлечения общества к административной ответственности суды не установили, так же как не установили и оснований для признания совершенного обществом правонарушения малозначительным и освобождения общества от ответственности на основании статьи 2.9 Кодекса Российской Федерации об административных правонарушениях. Доводы общества направлены на переоценку доказательств и установление иных фактических обстоятельств дела,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Аванта (подробнее) Иные лица: Новороссийская таможня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