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«Клиника Алтея» обратилось с кассационной жалобой в Верховный Суд Российской Федерации на указанный судебный акт,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недостаток, послуживший основанием для ее возвращения устранен,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«Клиника Алтея» о восстановлении пропущенного срока подачи кассационной жалобы на постановление Суда по интеллектуальным правам от 11.12.2020 по делу № А40-102379/2019 Арбитражного суда города Москвы удовлетворить, срок восстановить.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