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в период с 01.03.2017 по 02.05.2017 на расчётный счёт общества с ограниченной ответственностью «Три Пятерки» (далее – общество) денежных средств на общую сумму 23 209 966 рублей; применении последствий их недействительности. Определением Арбитражного суда города Москвы от 02.07.2020, оставленным без изменения постановлениями Девятого арбитражного апелляционного суда от 01.09.2020 и Арбитражного суда Московского округа от 27.11.2020,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недействительными оспариваемых сделок по основаниям мнимости 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«Биэль» Титовскому Игорю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