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28.07.2020, оставленным без изменения постановлениями Пятнадцатого арбитражного апелляционного суда от 22.09.2020 и Арбитражного суда Северо-Кавказского округа от 27.11.2020,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ненадлежащую оценку доказательств по делу.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заказчика, выразившиеся в нарушении процедуры размещения лота, путем включения в него позиции № 5 «Желатин», функционально не связанной с основной позицией лота, фактически выпускаемой одним производителем, антимонопольным органом принято оспариваемое решение. Управлением жалоба общества признана необоснованной.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3, 8, 33, 64, 105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статьи 17 Федерального закона от 26.07.2006 № 135-ФЗ «О защите конкуренции», постановлением Правительства Российской Федерации от 17.10.2013 № 929 «Об установлении предельного значения начальной (максимальной) цены контракта (цены лота) лекарственные средства с различными международными непатентованными наименованиями или при отсутствии таких наименований с химическими, группировочными наименованиями», пришли к выводу о том, что ненормативный акт антимонопольного органа соответствует законодательству о контрактной системе и не нарушает права и законные интересы заявителя с учетом установленных по делу обстоятельств. При этом судебные инстанции исходили из отсутствия доказательств, свидетельствующих о наличии препятствий для приобретения участником требуемого препарата, создания требованиями к поставляемому товару преимуществ одному участнику закупки перед другим, и направленности действий заказчика на ограничение конкуренции.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3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«ЭСКОМ-СПб»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