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сделками договоров займа от 11.09.2014 № 3/14 и от 30.09.2014 № 4/14, заключенных между должником и ФИО2, и применении последствий недействительности сделок. В обоснование требования заявитель указал, что спорные сделки имеют признаки мнимости, а также совершены с целью причинения вреда имущественным интересам кредиторов, то есть являются недействительными на основании статей 10 , 168 Гражданского кодекса Российской Федерации и пункта 2 статьи 61.2 Закона о банкротстве. Определением суда первой инстанции от 31.05.2019, оставленным в силе судами апелляционной инстанции и округа, в удовлетворении заявления отказано. В кассационной жалобе, поданной в Верховный Суд Российской Федерации, заявитель ссылается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Разрешая спор и отказывая в удовлетворении заявленных требований, суды по результатам исследования и оценки представленных материалов в порядке статьи 71 АПК РФ исходили из того, что оспоренные сделки не отвечают признакам мнимости, учитывая, что при погашении суммы основного долга и процентов за основного кредитора у поручителя возникает право требования по взысканию оплаченных им денежных средств у основного кредитора, что и было сделано должником путем обращения в Арбитражный суд Калужской области иском о взыскании оплаченной суммы по кредитным договорам в рамках судебного дела № А23-7403/16, по результатам рассмотрения которого принято решение о взыскании с общества с ограниченной ответственностью «Актипласт-Т» (основного кредитора) в пользу должника суммы долга, оплаченной им, как поручителем по кредитным договорам от 04.03.2013 № 6 402/15/008-13, от 27.12.2012 № 6402/15/071-12, от 01.08.2012 № 6402/15/033-12 в размере 59 632 439,14 руб. Кроме того, суды отметили, что в рамках настоящего дела о банкротстве установлено что должник в своей деятельности систематически использовал привлечение денежных средств путем получения займов как от физических, так и от юридических лиц. Таким образом, заключение должником договоров займов не является единичной сделкой, их заключение происходило в рамках обычной хозяйственной деятельности должника. Кроме того, установив и сопоставив даты утверждения ФИО1 в качестве конкурсного управляющего должника и обращения им в суд с заявлением об оспаривании указанных сделок, суды, учитывая разъяснения, данные в пункте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констатировали, что срок, установленный в пункте 2 статьи 61.2 Закона о банкротстве и статьях 168 , 170 Гражданского кодекса Российской Федерации для оспаривания сделок, конкурсным управляющим должника пропущен, что является самостоятельным основанием для отказа в удовлетворении заявленного требования. При этом суды отметили, что конкурсным управляющим не доказал уважительность причин пропуска срока исковой давности, а равно доказательств прерывания течения данного срока. Оснований, по которым возможно не согласиться с указанными выводами, заявителем не приведено. Возражения заявителя выводы судов не опровергают, не подтверждают существенных нарушений норм материального права и норм процессуального права, повлиявших на исход дела, не являются достаточным основанием для пересмотра судебного акта в кассационном порядке. По сути, они направлены на переоценку доказательств и разрешение вопросов факта. Между тем такие доводы не могут быть предметом рассмотрения на стадии кассационного судопроизводства.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Судьи дела: Самуйлов С.В.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