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сделок по перечислению в период с 06.03.2017 по 02.05.2017 на расчётный счёт общества с ограниченной ответственностью «Евроторг» (далее – общество) денежных средств на общую сумму 9 046 237 рублей 69 копеек; применении последствий их недействительности. Определением Арбитражного суда города Москвы от 02.07.2020, оставленным без изменения постановлениями Девятого арбитражного апелляционного суда от 02.09.2020 и Арбитражного суда Московского округа от 30.11.2020,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168, 170 Гражданского кодекса Российской Федерации, пунктом 2 статьи 61.2 Федерального закона от 26.10.2002 № 127-ФЗ «О несостоятельности (банкротстве)», исходили из недоказанности совокупности условий для признания недействительными оспариваемых сделок по основаниям мнимости и причинения вреда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управляющего обществом с ограниченной ответственностью «Биэль» Титовскому Игорю Павловичу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