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«Новоорловский горно-обогатительный комбинат» 12.03.2021 обратилось в Верховный Суд Российской Федерации с жалобой на определение судьи Верховного Суда Российской Федерации от 27.01.2021 № 302-ЭС20-542(2), заявив при этом ходатайство о восстановлении пропущенного процессуального срока. 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2 Кодекса, со дня, когда это лицо узнало или должно было узнать о нарушении его прав и законных интересов обжалуемым судебным актом.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05.02.2007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Причины пропуска рассматриваемого срока, приведенные заявителем, к числу уважительных не относятся.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закрытого акционерного общества «Новоорловский горно-обогатительный комбинат» о восстановлении пропущенного процессуального срока отказать. Жалобу возвратить заявителю.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