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Береснев Виталий Семенович, Бойков Станислав Васильевич, Жужгов Николай Федорович и Масловский Александр Николаевич обратились в Арбитражный суд Свердловской области с иском к обществу с ограниченной ответственностью УЭТМ-Монтаж (далее – Общество) о признании приказов, протокола и записей недействительными. Береснев В.С. в судебном заседании суда первой инстанции заявил об отказе от иска. Решением Арбитражного суда Свердловской области от 04.02.2020, оставленным без изменения постановлением Семнадцатого арбитражного апелляционного суда от 28.07.2020 и постановлением Арбитражного суда Уральского округа от 05.11.2020, принят отказ Береснева В.С. от иска, производство по делу в указанной части прекращено на основании пункта 4 части 1 статьи 150 Арбитражного процессуального кодекса Российской Федерации (далее – АПК РФ). В удовлетворении требований Бойкова С.В., Жужгова Н.Ф. и Масловского А.Н.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2 В обоснование доводов жалобы заявитель указывает, что приказы касались прав и интересов каждого работника; открытая (гласная) реализация долей привела бы к справедливому законному распределению уставного капитала. По утверждения Масловского А.Н., о существовании приказов не знал никто, кроме семи работников, впоследствии ставших участниками Общества; уставный капитал был распределен в обход действовавших правовых норм. При распределении уставного капитала следовало применить нормы закона, регулирующего сходные отношения, в частности, Федерального закона от 19.07.1998 № 115-ФЗ «Об особенностях правового положения акционерных обществ работников (народных предприятий)».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создано в ноябре 1997 года акционерным обществом «Уралэлектротяжмаш» (далее – Компания) в качестве дочерней организации на базе своего структурного подразделения - отдела внешнего монтажа. После государственной регистрации ответчика, Компания, являвшееся единственным учредителем и владеющая 100% долей уставного капитала Общества, перевела всех работников отдела внешнего монтажа в свою дочернюю организацию. Компания с момента создания дочерней организации – 17.11.1997 до сентября 2004 года полностью не оплатило уставный капитал. В связи с этим 28.09.2004 Обществом издан приказ № 164 «О распределении доли, принадлежащей обществу», согласно которому уставный капитал от учредителя переходит к Обществу и подлежит распределению. Также приказом предусмотрено распределение (продажа) уставного капитала заинтересованным работникам. Во исполнение указанного приказа издан приказ от 01.10.2004 № 165, утвердивший состав новых участников и их доли в уставном капитале. Ссылаясь на указанные обстоятельства, истцы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195, 199, 200 Гражданского кодекса Российской Федерации (далее – Гражданский кодекс),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3 Гражданского кодекса Российской Федерации об исковой давности» (далее – Постановление № 43), суды отказали в удовлетворении заявленных требований по основанию истечения срока исковой давности. Согласно статье 195 Гражданского кодекса, исковой давностью признается срок для защиты права по иску лица, право которого нарушено.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Признавая пропущенным срок исковой давности, судебные инстанции правомерно исходили из того, что оспариваемые приказы послужили основанием для внесения в Единый государственный реестр юридических лиц в 2004 году соответствующих записей о составе участников Общества, а соответственно, добросовестные участники оборота должны были узнать о нарушении своих прав (на доли в уставном капитале ответчика) в 2004 году, тогда как с настоящими требованиями истцы обратились только в 2019 году.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Масловского Александра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