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общества с ограниченной ответственностью «Каслинский завод металлоконструкций» и «Лиринк» обратились в суд с заявлениями о взыскании убытков с бывшего конкурсного управляющего должником Кучугуровой М.Н. Определением Арбитражного суда Свердловской области от 23.12.2019 заявления удовлетворены в полном объеме. Постановлением Семнадцатого арбитражного апелляционного суда от 20.08.2020 вышеуказанное определение изменено, заявления удовлетворены в части взыскания с арбитражного управляющего Кучугуровой М.Н. в пользу должника убытков в размере 2 585 441 рублей 40 копеек. В удовлетворении требований в остальной части отказано. Постановлением Арбитражного суда Уральского округа от 19.11.2020 отменено постановление апелляционного суда от 20.08.2020 в части отказа в удовлетворении заявлений о взыскании с арбитражного управляющего Кучугуровой М.Н. в пользу должника убытков в сумме 3 965 444 рублей 15 копеек и 16 543 311 рублей 21 копеек; в пользу общества «Лиринк» убытков в сумме 2 865 000 рублей. В отменённой части обособленный спор направлен на новое рассмотрение в Семнадцатый арбитражный апелляционной суд; в оставшейся части указанное постановление апелляционного суда оставлено в силе. В кассационной жалобе, поданной в Верховный Суд Российской Федерации, заявитель просит изменить постановления судов апелляционной 2 инстанции и округа в части признания необоснованной оплаты деятельности привлечённых ею специалистов в размере 2 454 899 рублей 72 копеек, в удовлетворении требований в данной части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удовлетворяя требования в обжалуемой части, суды, руководствуясь статьями 15, 1064 Гражданского кодекса Российской Федерации, статьями 20.3, 20.7, 131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17.12.2009 № 91 «О порядке погашения расходов по делу о банкротстве», проанализировав объём и сложность выполненной работы необоснованно привлечёнными заявителем специалистами, пришли к выводу о доказанности причинения ею убытков должнику и кредиторам.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Кучугуровой Марине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