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23.06.2020, оставленным без изменения постановлением Второго арбитражного апелляционного суда от 19.08.2020, исковые требования удовлетворены. Постановлением Арбитражного суда Волго-Вятского округа от 18.11.2020 решение суда первой инстанции и постановление суда апелляционной инстанций отменены, в удовлетворении исковых требований отказано. В кассационной жалобе, поданной в Верховный Суд Российской Федерации, предприятие, ссылаясь на нарушение судом округа норм материального и процессуального права, просит отменить его постановление и оставить в силе решение суда первой инстанции и постановление суда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принятого по делу судебного акта и доводов кассационной жалобы не установлено. Отменяя решение суда первой инстанции, постановление суда апелляционной инстанции и отказывая в удовлетворении исковых требований, суд округа, учитывая установленные названными судами обстоятельства, руководствуясь статьями 309, 310, 424, 432, 452, 516 Гражданского кодекса Российской Федерации, исходил из того, что в договоре стороны согласовали фиксированную цену – 2 658 180 руб., факт перечисления указанной суммы ответчиком истцу подтвержден и последним не оспаривается; доказательства наличия письменного соглашения сторон, свидетельствующие об изменении условий договора о цене поставляемого оборудования, а также ненадлежащего исполнения ответчиком договорных обязательств не представлены. Изложенные в кассационной жалобе доводы не опровергают выводы суда округа и не свидетельствуют о наличии в обжалуемом судебном акте существенных нарушений норм материального и (или) процессуального права, повлиявших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открытого акционерного общества «Советское ремтехпредприятие»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