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 Транс» обратилось в Арбитражный суд Республики Татарстан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«Адванд116» 556 222 рублей 43 копеек убытков и 8 000 рублей расходов по оценке стоимости ущерба.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«ЭлектроОптима» и акционерное общество финансовая группа «Эверест». Решением Арбитражного суда Республики Татарстан от 25.05.2020 иск удовлетворен. Постановлением Одиннадцатого арбитражного апелляционного суда от 30.07.2020 решение суда первой инстанции оставлено без изменения. 2 Арбитражный суд Поволжского округа постановлением от 24.11.2020 указанные судебные акты оставил без изменения. Общество с ограниченной ответственностью «Адванд116»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принятия ответчиком спорного груза к перевозке, повреждение груза при его транспортировке, наличие вины ответчика и причинно-следственную связь между виновными действиями ответчика и наступившими последствиями, непредставление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зависело, установив размер заявленных убытков, руководствуясь положениями статей 15, 393, 401, 784, 785,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пунктах 5, 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обоснованности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«Адванд116»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