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«КлассикСтоун» обратилось в Арбитражный суд Ярославской области с иском к индивидуальному предпринимателю Родинскому Александру Игоревичу о признании сделки по передаче строительного песка в объеме 60 кубических метров на сумму 47 200 рублей фактически сложившимися договорными отношениями по поставке и обязании передать истцу товарную накладную, подтверждающую поставку строительного песка в указанном объеме. Решением Арбитражного суда Ярославской области от 06.04.2020 в иске отказано. Постановлением Второго арбитражного апелляционного суда от 10.07.2020 решение суда первой инстанции оставлено без изменения. Арбитражный суд Волго-Вятского округа постановлением от 18.11.2020 указанные судебные акты оставил без изменения. Общество с ограниченной ответственностью «КлассикСтоун»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9, 65, 71 Арбитражного процессуального кодекса Российской Федерации, учитывая отсутствие между сторонами договорных отношений, признав недоказанным наличие между сторонами реальных хозяйственных отношений по поставке спорного товара, руководствуясь положениями статей 1, 2, 9, 12, 13, 421, 432, 433, 438 Гражданского кодекса Российской Федерации,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«КлассикСтоун»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