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«Центрспецремонт» (далее – общество) обратилось в Арбитражный суд Брянской области с иском, уточненным в порядке статьи 49 Арбитражного процессуального кодекса Российской Федерации, к заводу о взыскании 17 492 290 руб. 36 коп. задолженности за работы, выполненные по договорам подряда от 22.09.2015 № КСЗ-08/15, от 16.02.2016 № КСЗ-02/16, от 16.03.2016 № КСЗ-03/16, от 20.06.2016 № КСЗ-04/16, от 27.06.2016 № КСЗ-05/16, от 29.06.2016 № КСЗ-06/16, от 02.09.2016 № КСЗ-07/16, от 09.11.2016 № КСЗ-10/16, от 15.01.2017 № КСЗ-01/17, 8 787 434 руб. 14 коп. неустойки, рассчитанной по состоянию на 10.06.2019, с взысканием неустойки с 11.06.2019 по день фактической оплаты долга. Завод обратился со встречным иском о взыскании с общества 109 259 942 руб., в том числе: 65 098 670 руб. стоимости предстоящих расходов на демонтажные (монтажные) работы и материалы, необходимые для устранения недостатков в отношении корпуса печи; 2 848 402 руб. стоимости работ по предстоящему демонтажу футеровки (согласно условиям договора подряда от 24.05.2014); 6 490 000 руб. стоимости работ по предстоящему монтажу футеровки (согласно условиям договора от 22.09.2015 № КСЗ-08/15); 10 170 906 руб. убытков в виде упущенной выгоды согласно заключению эксперта от 13.11.2018 № 01-190-2018; 3 784 458 руб. неустойки по контрактным обязательствам за недопоставку продукции в период простоя печи; 2 505 600 руб. штрафа по контрактным обязательствам за тонну недопоставленной продукции в период простоя печи; 8 191 000 руб. стоимости фактически понесенных в 2017 году расходов по устранению недостатков футеровки и 10 170 906 руб. убытков, возникших в результате выполнения в 2017 году ремонтных работ (с учетом уточнения исковых требований и объединения дел в одно производство). К участию в деле в качестве третьих лиц, не заявляющих самостоятельных требований относительно предмета спора, привлечены Государственная строительная инспекция Брянской области и общество с ограниченной ответственностью «Брянскгражданпроект-Сервис». В кассационной жалобе, поданной в Верховный Суд Российской Федерации, завод, ссылаясь на нарушение судами норм материального и процессуального права, просит отменить указанные судебные акты в части удовлетворения первоначальных исковых требований, отказа в удовлетворении встречных требований и направить дело в этой части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Принимая судебные акты в обжалуемой части, суды руководствовались статьями 15 , 309 , 310 , 330 , 702 , 709 , 711 , 720 , 723 , 724 Гражданского кодекса Российской Федерации (далее – ГК РФ), разъяснениями, изложенными в информационном письме Высшего Арбитражного Суда Российской Федерации от 24.01.2000 № 51 «Обзор практики разрешения споров по договору строительного подряда»,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в частности, из следующего: факт выполнения обществом (подрядчик) работ в рамках спорных договоров на заявленную сумму и передачи их результата заводу (заказчик) подтвержден, доказательств некачественного выполнения работ, а также того, что указанные заказчиком недостатки не могли быть выявлены при приемке работ или в разумный срок после их приемки, как и доказательств оплаты этих работ не представлено, в связи с чем с последнего следует взыскать задолженность и неустойку (с учетом применения положений статьи 333 ГК РФ ); поскольку доказательств, свидетельствующих о том, что заказчик, уведомивший подрядчика о наличии недостатков выполненных работ, заявил отказ от исполнения договора в соответствии с пунктом 3 статьи 723 ГК РФ не представлено, а выявленные недостатки обнаружены заказчиком за пределами установленного гарантийного срока, оснований для взыскания с подрядчика убытков в виде упущенной выгоды и предстоящих расходов не имеется. Выводы судов подробно мотивированы, основаны на представленных в материалы дела доказательствах и установленных на их основании фактических обстоятельствах.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«Клинцовский силикатный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"Центрспецремонт" (подробнее) Ответчики: АО "Клинцовский силикатный завод" (подробнее) ЗАО "Клинцовский силикатный завод" (подробнее) ООО " Центрспецремонт " (подробнее) Иные лица: Арбитражный суд Центрального округа (подробнее) Государственная строительная инспекция Брянской области (подробнее) Двадцатый Арбитражный апелляционный суд (подробнее) МИФНС РФ №1 по Брянской области (подробнее) "НПО" "Экспертиза" (подробнее) ООО "Брянскгражданпроект-сервис" (подробнее) ООО "Брянский центр оценки и экспертизы" (подробнее) ООО "ЭКЦ" (подробнее) ПАО Сбербанк отделение №8605 (подробнее) Советский РОСП (подробнее) Советский РОСП УФССП России по Брянской области (подробнее) ФБУ Брянская ЛСЭ (подробнее) Судебная практика по: Упущенная выгода Судебная практика по применению норм ст. 15, 393 ГК РФ По договору подряда Судебная практика по применению норм ст. 702, 703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