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Рязанской области от 04.03.2020 исковое требование удовлетворено частично, с субъекта Российской Федерации – Рязанская область в лице управления за счет казны Рязанской области в пользу общества взысканы убытки в размере 476 306 рублей 59 копеек. В удовлетворении остальной части иска отказано. Постановлением Двадцатого арбитражного апелляционного суда от 04.08.2020 решение суда первой инстанции отменено, иск удовлетворен в полном объеме. Арбитражный суд Центрального округа постановлением от 20.11.2020 постановление суда апелляционной инстанции оставил без изменения. 2 В кассационной жалобе, поданной в Верховный Суд Российской Федерации, управление ставит вопрос об отмене принятых по делу судебных актов,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 ссылаясь на то, что установленный управлением (уполномоченный орган) тариф на перевозку груза меньше ранее оспоренного обществом в судебном порядке экономически необоснованного тарифа, обратилось в арбитражный суд с требованием о взыскании упущенной выгоды в виде недополученной прибыли за 2015 год. Исследовав и оценив представленные в материалы дела доказательства, суд апелляционной инстанции, руководствуясь положениями статей 15, 16, 424, 1069 Гражданского кодекса Российской Федерации, Федерального закона от 10.01.2003 № 17-ФЗ «О железнодорожном транспорте в Российской Федерации», Закона Рязанской области от 12.07.2011 № 50-ОЗ «Об отдельных вопросах государственного регулирования цен на территории Рязанской области», правовой позицией, изложенной в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 учетом обстоятельств, установленных по результатам рассмотрения дела № А54-1463/2015Арбитражного суда Рязанской области, пришел к выводу о наличии оснований для удовлетворения иска в полном объеме, с чем согласился суд округа. Судебные инстанции исходили из доказанности истцом совокупности условий для возложения на ответчика обязанности по возмещению убытков в виде недополученной прибыли в результате установления управлением экономически необоснованного тарифа. При этом экономически обоснованный тариф был определен в ходе рассмотрения дела А54-1463/2015.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Доводы кассационной жалобы не свидетельствуют о неправильном применении судами норм материального и процессуального права, повлиявшем 3 на исход дела или допущенной судебной ошибке, являлись предметом рассмотрения судов, получили надлежащую правовую оценку с учетом установленных обстоятельств дела и мотивированно отклонены.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Главному управлению «Региональная энергетическая комиссия» Рязанской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