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государственное учреждение – Управление Пенсионного фонда Российской Федерации в г. Ижевске Удмуртской Республики (межрайонное) (далее – пенсионный фонд) обратилось в Арбитражный суд Удмуртской Республики с иском о взыскании с общества с ограниченной ответственностью «Нексус» (далее – общество) 15 417 рублей 36 копеек убытков, возникших в результате переплаты пенсии вследствие непредставления в установленные сроки сведений по форме СЗВ-М за апрель 2017 года. 2 К участию в деле в качестве третьего лица, не заявляющего самостоятельные требования, привлечена Зуева Н.П. Решением Арбитражного суда Удмуртской Республики от 21.05.2020, оставленным без изменения постановлением Семнадцатого арбитражного апелляционного суда от 07.08.2020, пенсионному фонду отказано в удовлетворении заявленных требований. Арбитражный суд Уральского округа постановлением от 18.11.2020 оставил без изменения решение суда первой инстанции и постановление суда апелляционной инстанции. Пенсионный фонд обратился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заявленных требований.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оценив представленные в материалы дела доказательства и установив фактические обстоятельства дела, руководствуясь статьями 15, 1064 Гражданского кодекса Российской Федерации, положениями Федерального закона от 28.12.2013 № 400-ФЗ «О страховых пенсиях», Федерального закона от 01.04.1996 № 27-ФЗ «Об индивидуальном (персонифицированном) учете в системе обязательного пенсионного страхования», суды пришли к выводу о недоказанности пенсионным фондом причинно-следственной связи между заявленным ущербом и действиями страхователя (общества) по предоставлению сведений индивидуального (персонифицированного) учета за апрель 2017 года.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были оценены в их совокупности и 3 взаимосвязи, суды отказали пенсионному фонду в удовлетворении заявленных требований. Обжалуя судебные акты в Верховный Суд Российской Федерации, пенсионный фонд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отсутствием причинно-следственной связи между действиями общества и выплатой пенсионным фондом проиндексированной пенсии работающему пенсионеру. Как установлено судами, пенсионный фонд располагал сведениями об осуществлении пенсионером трудовой деятельности и имел возможность не производить выплату спорной индексации. Указанные выводы судов в жалобе пенсионным фондом не опровергнуты. Доводы пенсионного фонда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пенсионным фондом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пенсионного фонда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