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09.03.2021 обратился в Верховный Суд Российской Федерации с жалобой на определение судьи Верховного Суда Российской Федерации от 03.12.2020 № 303-ЭС20-18932, заявив при этом ходатайство о восстановлении пропущенного процессуального срока. 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силу части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05.04.2007 № 2-П, от 12.07.2018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Причины пропуска рассматриваемого срока, приведенные заявителем, к числу уважительных не относятся.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акционерного общества «Корякэнерго» о восстановлении пропущенного процессуального срока отказать. Жалобу возвратить заявителю. Судья Верховного Суда Российской Федерации М.К.Антонова Суд: Верховный Суд РФ (подробнее) Истцы: АО "Корякэнерго" (подробнее) Ответчики: Инспекция Федеральной налоговой службы по г. Петропавловску-Камчатскому (подробнее) Иные лица: Арбитражный суд Дальневосточного округа (подробнее) Пятый арбитражный апелляционный суд (подробнее) Управление Федеральной налоговой службы по Камчатскому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