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«ОллТрейд» (далее – общество, правопредшественник заявителя) обратилось в суд с заявлением о привлечении Бартеля Ральфа Патрика (далее – руководитель должника) к субсидиарной ответственности по обязательствам должника в размере 1 688 144 979 рублей 91 копейки. Определением Арбитражного суда города Москвы от 16.09.2019, оставленным без изменения постановлениями Девятого арбитражного апелляционного суда от 25.11.2019 и Арбитражного суда Московского округа от 02.12.2020,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Разрешая спор, суды, руководствуясь статьями 15, 53.1, 56 Гражданского кодекса Российской Федерации, пунктом 4 статьи 10 Федерального закона от 26.10.2002 № 127-ФЗ «О несостоятельности (банкротстве)», исходя из фактических обстоятельств, в том числе результатов рассмотрения иного обособленного спора по заявлению конкурсного управляющего к ликвидатору и руководителю должника, не установили оснований для привлечения последнего к субсидиарной ответственности по обязательствам должника ввиду недоказанности наступления несостоятельности контролируемой им организации вследствие его действий либо бездействия.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Кирюхиной Анне Николаевне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