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учреждение – Управление Пенсионного фонда Российской Федерации в Игринском районе Удмуртской Республики (межрайонное) (далее – пенсионный фонд) обратилось в Арбитражный суд Удмуртской Республики с иском о взыскании с публичного акционерного общества «Межрегиональная распределительная сетевая компания Центра и Приволжья» в лице филиала «Удмуртэнерго» (далее – общество) 16 648 рублей 19 копеек ущерба, возникшего в результате переплаты пенсии вследствие 2 непредставления в установленные сроки сведений по форме СЗВ-М за июнь 2017 года. К участию в деле в качестве третьего лица, не заявляющего самостоятельные требования, привлечена Никифорова Т.В. Решением Арбитражного суда Удмуртской Республики от 27.02.2020, оставленным без изменения постановлением Семнадцатого арбитражного апелляционного суда от 16.07.2020, пенсионному фонду отказано в удовлетворении заявленных требований. Арбитражный суд Уральского округа постановлением от 05.11.2020 оставил без изменения решение суда первой инстанции и постановление суда апелляционной инстанции. Пенсионный фонд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 фактические обстоятельства дела, руководствуясь статьями 15, 1064 Гражданского кодекса Российской Федерации, статьями 11, 26.1, 28 Федерального закона от 01.04.1996 № 27-ФЗ «Об индивидуальном (персонифицированном) учете в системе обязательного пенсионного страхования», суды пришли к выводу о недоказанности пенсионным фондом причинно-следственной связи между заявленным ущербом и действиями страхователя (общества) по предоставлению сведений индивидуального (персонифицированного) учета за июнь 2017 года. Установив все обстоятельства, имеющие существенное значение для рассмотрения дела, на основании полного и всестороннего исследования 3 имеющихся в деле доказательств, которые были оценены в их совокупности и взаимосвязи, суды отказали пенсионному фонду в удовлетворении заявленных требований. Обжалуя судебные акты в Верховный Суд Российской Федерации, пенсионный фонд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отсутствием причинно-следственной связи между действиями общества и выплатой пенсионным фондом проиндексированной пенсии работающему пенсионеру. Как установлено судами, на момент принятия решения о перерасчете размера пенсии пенсионный фонд располагал сведениями об осуществлении пенсионером трудовой деятельности. Указанные выводы судов в жалобе пенсионным фондом не опровергнуты. Доводы пенсионного фонда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пенсионным фондом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пенсионного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