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«Гвардейский городской округ» (далее – истец) обратилась в Арбитражный суд Калининградской области с иском к обществу с ограниченной ответственностью «Центр комплексного проектирования» (далее – ответчик) о расторжении муниципального контракта от 13.09.2013 № 09/09/2013, о взыскании 9 100 000 рублей выплаченных по контракту и 949 130 000 рублей пеней. Решением Арбитражного суда Калининградской области от 26.12.2019, оставленным без изменения постановлением Тринадцатого арбитражного апелляционного суда от 21.07.2020, истцу отказано в удовлетворении заявленных требований. 2 Арбитражный суд Северо-Западного округа постановлением от 19.11.2020 отменил указанные судебные акты и направил дело на новое рассмотрение в суд первой инстанции. Ответчик обратился в Верховный Суд Российской Федерации с кассационной жалобой на постановление суда округа, в которой просит его отменить и принять новый судебный акт об отказе истцу в удовлетворении заявленных требований и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На основании установленных судами первой и апелляционной инстанций фактических обстоятельств дела, связанных с действиями сторон по исполнению условий муниципального контракта, суд округа пришел к выводу, что суды не установили обстоятельства, имеющие существенное значение для рассмотрения дела, в частности в рамках каких правоотношений взаимодействуют стороны контракта и чем вызвана передача истцом новых исходных данных.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и направил дело на новое рассмотрение в суд первой инстанции. Обжалуя судебные акты в Верховный Суд Российской Федерации, ответчик приводит доводы, которые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3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ответчика не приведено. Поскольку ответчик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