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«ОРЕНДА» (далее – общество) 09.03.2020 обратилось в Верховный Суд Российской Федерации с кассационной жалобой на решение Арбитражного суда города Москвы от 22.07.2020 по делу № А40-50490/2020, постановление Девятого арбитражного апелляционного суда от 21.09.2020 и постановление Арбитражного суда Московского округа от 17.12.2020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 обоснование ходатайства общество ссылается на позднее получение копий обжалуемых судебных актов. Однако, как следует из обжалуемых судебных актов, общество являлось инициатором обращения в суд первой инстанции с заявлением об оспаривании постановления о привлечении к административной ответственности, а также с последующими жалобами в суд апелляционной инстанции и суд округа, при этом представитель общества присутствовал в судебных заседаниях и знал о состоявшихся судебных актах. Текст обжалуемых судебных актов согласно данным Картотеки арбитражных дел своевременно размещен в сети Интернет и с этого момента был доступен для ознакомления и подготовки кассационной жалобы.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3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«ОРЕНДА»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