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18.06.2020, оставленным без изменения постановлениями Седьмого арбитражного апелляционного суда от 24.08.2020 и Арбитражного суда Западно-Сибирского округа от 10.11.2020, завершена процедура реализации имущества должника без применения правил об освобождении должника от дальнейшего исполнения обязательств перед кредиторами. В кассационной жалобе, поданной в Верховный Суд Российской Федерации, заявитель просит изменить определение суда первой инстанции, применив к нему правила об освобождении от дальнейшего исполнения обязательств перед кредиторами; отменить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 в обжалуемой части, суды, руководствуясь положениями пунктов 3 и 4 статьи 213.28 Федерального закона от 26.10.2002 № 127-ФЗ «О несостоятельности (банкротстве)», пунктами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обстоятельств недобросовестного поведения должника, установленного в период проведения процедуры банкротства, в частности, уклонения от исполнения публичных обязательств перед бюджетом по уплате налогов.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Абитову Мурату Амантаевичу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