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в реестр требований кредиторов должника (далее – реестр) его требований в размере 55 902 рублей 22 копеек. Определением Арбитражного суда города Москвы от 26.05.2020, оставленным без изменения постановлениями Девятого арбитражного апелляционного суда от 30.07.2020 и Арбитражного суда Московского округа от 18.11.2020, требования признаны подлежащим удовлетворению за счёт имущества должника, оставшегося после удовлетворения требований кредиторов, включённых в реестр.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142, 213.7, 213.8 Федерального закона от 26.10.2002 № 127-ФЗ «О несостоятельности (банкротстве)», исходили из того, что основанные на факте неисполнения должником кредитного обязательства перед банком требования подтверждены документально, но заявлены после закрытия реестра в отсутствие объективных причин невозможности своевременного обращения в суд с соответствующим заявлением в установленный законом срок.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Пенюгаловой Нэлли Павловне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