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11.02.2020, оставленным без изменения постановлениями Тринадцатого арбитражного апелляционного суда от 30.07.2020 и Арбитражного суда Северо-Западного округа от 24.11.2020, заявленное требование удовлетворено. В кассационной жалобе инспекция ставит вопрос об отмене принятых по делу судебных актов, ссылаясь на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соблюдения обществом лицензионных требований по управлению многоквартирным домом инспекцией выдано оспариваемое предписание. Предписанием инспекции на общество возложена обязанность устранить допущенные нарушения, а именно: произвести начисление платы по услуге «санитарное содержание придомовой территории» в соответствии с действующими тарифами в Санкт-Петербурге, выполнить перерасчет по квартире № 52 за июль, август, сентябрь 2019 года. Основанием для выдачи предписания послужил вывод инспекции о том, что решение общего собрания собственников помещений по вопросу начисления платы за услугу «санитарное содержание придомовой территории» принято в отсутствие необходимого большинства голосов в нарушение требований статьи 46 Жилищного кодекса Российской Федерации (далее – Жилищный кодекс). Удовлетворяя заявление,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20, 44, 46, 156, 162 Жилищного кодекса пришли к выводу о том, что оспариваемое предписание не соответствует действующему законодательству. Судебные инстанции исходили из отсутствия оснований для выдачи оспариваемого ненормативного акта об устранении нарушения, выразившегося в определении размера платы за услугу «санитарное содержание придомовой территории». При этом суды отметили, что в отсутствие доказательств признания недействительным решения общего собрания собственников помещений по вопросу установления размера платы инспекция, выдавая предписание, вышла за пределы своих полномочий, вмешавшись в гражданско-правовые отношения собственников помещений в многоквартирном доме. Доводы инспекции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3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Санкт-Петербурга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