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25.06.2020, оставленным без изменения постановлениями Девятого арбитражного апелляционного суда от 15.09.2020 и Арбитражного суда Московского округа от 25.11.2020, исковые требования удовлетворены.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Основанием для обращения в арбитражный суд с настоящим иском послужило нарушение обществом срока исполнения обязательства по договору от 14.12.2016 № 771-Д287/16/357 об участии Российской Федерации в собственности субъекта инвестиций № 01-09/231, заключенному с Федеральным космическим агентством (правопредшественник госкорпорации). Оценив представленные в материалы дела доказательства, суды, руководствуясь положениями статей 307 , 309 , 310 , 329 , 330 , 431 Гражданского кодекса Российской Федерации, пришли к выводу о наличии оснований для удовлетворения исковых требований. При этом судебные инстанции исходили из наличия просрочки исполнения обязательств со стороны общества по договору от 14.12.2016 № 771-Д287/16/357, признав расчет неустойки верным, а также отметив, что нарушение сроков выполнения работ не связано со сроками предоставления финансирования со стороны истца.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«Научно-производственное предприятие «Краснознамёнец»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ГК по космической деятельности "Роскосмос" (подробнее) Ответчики: АО "Научно-производственное предприятие "Краснознамёнец"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