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«Металл-Инвест» обратилось в Арбитражный суд Тульской области с иском о взыскании с общества с ограниченной ответственностью «Спецтрансмонолит-Т» 9 857 630 рублей 80 копеек убытков в виде упущенной выгоды. Решением Арбитражного суда Тульской области от 18.05.2020 в удовлетворении иска отказано. Постановлением Двадцатого арбитражного апелляционного суда от 13.08.2020 решение суда первой инстанции оставлено без изменения. Арбитражный суд Центрального округа постановлением от 16.11.2020 указанные судебные акты оставил без изменения. Общество с ограниченной ответственностью «Металл-Инвест»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 71 Арбитражного процессуального кодекса Российской Федерации, руководствуясь положениями статей 15 , 393 Гражданского кодекса Российской Федерации, правовой позицией, изложенной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пришли к выводу о недоказанности истцом наличия упущенной выгоды и совокупности обстоятельств, необходимых для привлечения ответчика к имущественной ответственности в виде возмещения убытков, что явилось основанием для отказа в удовлетворении иска.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«Металл-Инвест»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"Металл-Инвест" (подробнее) Ответчики: ООО "Спецтрансмонолит-Т"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