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19.06.2020, оставленным без изменения постановлением Семнадцатого арбитражного апелляционного суда от 14.08.2020 и постановлением Арбитражного суда Уральского округа от 06.11.2020, заявление общества о взыскании 1 217 334 рублей 04 копеек судебных расходов удовлетворено на сумму в 67 348 рублей 34 копеек. В кассационной жалобе общество просит об отмене судебных актов в отношении не взысканной части судебных расходов, ссылаясь на неосновательное их уменьшение.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Судебные акты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 , 106 , 110 Арбитражного процессуального кодекса Российской Федерации и обстоятельствам рассмотрения дела. Суды проверили соответствие заявленных судебных расходов критериям разумности и обоснованности, определенным законом и судебной практикой, и установили разумную и обоснованную сумму затрат, понесенных истцом в связи с рассмотрением дела, во взысканном размере. Доводы жалобы сводятся к иной оценке обстоятельств несения расходов, не создающей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«Сити-Бас»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"Сити-Бас" (подробнее) Ответчики: Департамент дорог и транспорта администрации города Перми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