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17.01.2020, оставленным без изменения постановлением Девятого арбитражного апелляционного суда от 09.07.2020 и постановлением Арбитражного суда Московского округа от 06.11.2020, иск удовлетворен частично. В кассационной жалобе компания просит об отмене судебных актов, ссылаясь на неосновательное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«Первая Грузовая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"Первая грузовая компания" (подробнее) Ответчики: АО "ЕВРОЦЕМЕНТ ГРУП"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